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F754" w14:textId="77777777" w:rsidR="009E48D4" w:rsidRDefault="00DC2D7E" w:rsidP="0032169E">
      <w:pPr>
        <w:spacing w:after="240" w:line="660" w:lineRule="exact"/>
        <w:rPr>
          <w:rFonts w:ascii="Arial" w:eastAsia="MS Mincho" w:hAnsi="Arial" w:cs="Arial"/>
          <w:b/>
          <w:sz w:val="28"/>
          <w:szCs w:val="28"/>
        </w:rPr>
      </w:pPr>
      <w:bookmarkStart w:id="0" w:name="_GoBack"/>
      <w:bookmarkEnd w:id="0"/>
      <w:r w:rsidRPr="00E92B3C">
        <w:rPr>
          <w:rFonts w:ascii="Arial" w:eastAsia="MS Mincho" w:hAnsi="Arial" w:cs="Arial"/>
          <w:b/>
          <w:sz w:val="28"/>
          <w:szCs w:val="28"/>
        </w:rPr>
        <w:t>Notification of opening hours on bank and public holidays</w:t>
      </w:r>
      <w:r w:rsidR="00890272">
        <w:rPr>
          <w:rFonts w:ascii="Arial" w:eastAsia="MS Mincho" w:hAnsi="Arial" w:cs="Arial"/>
          <w:b/>
          <w:sz w:val="28"/>
          <w:szCs w:val="28"/>
        </w:rPr>
        <w:t xml:space="preserve"> </w:t>
      </w:r>
      <w:r w:rsidR="00890272" w:rsidRPr="00E92B3C">
        <w:rPr>
          <w:rFonts w:ascii="Arial" w:eastAsia="MS Mincho" w:hAnsi="Arial" w:cs="Arial"/>
          <w:b/>
          <w:sz w:val="28"/>
          <w:szCs w:val="28"/>
          <w:u w:val="single"/>
        </w:rPr>
        <w:t>201</w:t>
      </w:r>
      <w:r w:rsidR="002A1B71">
        <w:rPr>
          <w:rFonts w:ascii="Arial" w:eastAsia="MS Mincho" w:hAnsi="Arial" w:cs="Arial"/>
          <w:b/>
          <w:sz w:val="28"/>
          <w:szCs w:val="28"/>
          <w:u w:val="single"/>
        </w:rPr>
        <w:t>9/20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219"/>
        <w:gridCol w:w="3315"/>
        <w:gridCol w:w="1788"/>
      </w:tblGrid>
      <w:tr w:rsidR="00E81031" w14:paraId="0FD723D6" w14:textId="77777777" w:rsidTr="00E81031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2F4116" w14:textId="77777777" w:rsidR="00E81031" w:rsidRPr="009E48D4" w:rsidRDefault="00E81031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E0AE4D" w14:textId="77777777" w:rsidR="00E81031" w:rsidRDefault="00E81031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8D4">
              <w:rPr>
                <w:rFonts w:ascii="Arial" w:hAnsi="Arial" w:cs="Arial"/>
                <w:b/>
                <w:sz w:val="24"/>
                <w:szCs w:val="24"/>
              </w:rPr>
              <w:t xml:space="preserve">Name of contractor </w:t>
            </w:r>
            <w:r>
              <w:rPr>
                <w:rFonts w:ascii="Arial" w:hAnsi="Arial" w:cs="Arial"/>
                <w:b/>
                <w:sz w:val="24"/>
                <w:szCs w:val="24"/>
              </w:rPr>
              <w:t>and ODS Code</w:t>
            </w:r>
          </w:p>
          <w:p w14:paraId="658B9A7C" w14:textId="77777777" w:rsidR="00E81031" w:rsidRPr="009E48D4" w:rsidRDefault="00E81031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B27112" w14:textId="77777777" w:rsidR="00E81031" w:rsidRPr="009E48D4" w:rsidRDefault="00E81031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53A89A34" w14:textId="77777777" w:rsidR="00E81031" w:rsidRDefault="00E810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06308E7E" w14:textId="77777777" w:rsidR="00E81031" w:rsidRDefault="00E810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8D4" w14:paraId="6C5BD95F" w14:textId="77777777" w:rsidTr="009B67CE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8674BA" w14:textId="77777777" w:rsidR="009E48D4" w:rsidRPr="009E48D4" w:rsidRDefault="009E48D4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8D4">
              <w:rPr>
                <w:rFonts w:ascii="Arial" w:hAnsi="Arial" w:cs="Arial"/>
                <w:b/>
                <w:sz w:val="24"/>
                <w:szCs w:val="24"/>
              </w:rPr>
              <w:t>Full address of premises to which the application relates</w:t>
            </w:r>
          </w:p>
          <w:p w14:paraId="0038CEF4" w14:textId="77777777" w:rsidR="009E48D4" w:rsidRPr="009E48D4" w:rsidRDefault="009E48D4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14:paraId="1E680FC7" w14:textId="77777777"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2146C" w14:textId="77777777"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462DE8" w14:textId="77777777"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7CE" w14:paraId="1A0EF469" w14:textId="77777777" w:rsidTr="00411B47">
        <w:trPr>
          <w:trHeight w:val="974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AF0547" w14:textId="77777777" w:rsidR="009B67CE" w:rsidRPr="009E48D4" w:rsidRDefault="009B67CE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for correspondence (if different)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14:paraId="476A40B2" w14:textId="77777777" w:rsidR="009B67CE" w:rsidRDefault="009B67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40C694" w14:textId="77777777" w:rsidR="009B67CE" w:rsidRDefault="009B6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C30F0D" w14:textId="77777777" w:rsidR="00411B47" w:rsidRDefault="00411B47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8253453" w14:textId="77777777" w:rsidR="00747CE5" w:rsidRDefault="00747CE5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NHS </w:t>
      </w:r>
      <w:r w:rsidR="00AF64EE">
        <w:rPr>
          <w:rFonts w:ascii="Arial" w:eastAsia="Times New Roman" w:hAnsi="Arial" w:cs="Arial"/>
          <w:sz w:val="24"/>
          <w:szCs w:val="24"/>
          <w:lang w:eastAsia="en-GB"/>
        </w:rPr>
        <w:t>England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81031">
        <w:rPr>
          <w:rFonts w:ascii="Arial" w:eastAsia="Times New Roman" w:hAnsi="Arial" w:cs="Arial"/>
          <w:sz w:val="24"/>
          <w:szCs w:val="24"/>
          <w:lang w:eastAsia="en-GB"/>
        </w:rPr>
        <w:t>is taking the opportunity to plan ahead in respect of Bank Holiday cover across the whole system including community pharmacy to ensure that sufficient cover is available</w:t>
      </w:r>
      <w:r w:rsidR="005E25ED">
        <w:rPr>
          <w:rFonts w:ascii="Arial" w:eastAsia="Times New Roman" w:hAnsi="Arial" w:cs="Arial"/>
          <w:sz w:val="24"/>
          <w:szCs w:val="24"/>
          <w:lang w:eastAsia="en-GB"/>
        </w:rPr>
        <w:t xml:space="preserve"> for patients to access the appropriate services and to inform Out of Hours providers and any other relevant organisations</w:t>
      </w:r>
    </w:p>
    <w:p w14:paraId="06551C63" w14:textId="77777777" w:rsidR="00E81031" w:rsidRDefault="00E81031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2EB957" w14:textId="77777777" w:rsidR="00E81031" w:rsidRDefault="00D10C82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For 201</w:t>
      </w:r>
      <w:r w:rsidR="00B52796">
        <w:rPr>
          <w:rFonts w:ascii="Arial" w:eastAsia="Times New Roman" w:hAnsi="Arial" w:cs="Arial"/>
          <w:sz w:val="24"/>
          <w:szCs w:val="24"/>
          <w:lang w:eastAsia="en-GB"/>
        </w:rPr>
        <w:t>9</w:t>
      </w:r>
      <w:r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B52796">
        <w:rPr>
          <w:rFonts w:ascii="Arial" w:eastAsia="Times New Roman" w:hAnsi="Arial" w:cs="Arial"/>
          <w:sz w:val="24"/>
          <w:szCs w:val="24"/>
          <w:lang w:eastAsia="en-GB"/>
        </w:rPr>
        <w:t>20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NHS England have asked for information on opening hours for all Bank Holiday’s.  Going forward </w:t>
      </w:r>
      <w:r w:rsidR="00E81031">
        <w:rPr>
          <w:rFonts w:ascii="Arial" w:eastAsia="Times New Roman" w:hAnsi="Arial" w:cs="Arial"/>
          <w:sz w:val="24"/>
          <w:szCs w:val="24"/>
          <w:lang w:eastAsia="en-GB"/>
        </w:rPr>
        <w:t>NHS England will write out to all pharmacy contractors twice a year</w:t>
      </w:r>
      <w:r w:rsidR="002D095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E81031">
        <w:rPr>
          <w:rFonts w:ascii="Arial" w:eastAsia="Times New Roman" w:hAnsi="Arial" w:cs="Arial"/>
          <w:sz w:val="24"/>
          <w:szCs w:val="24"/>
          <w:lang w:eastAsia="en-GB"/>
        </w:rPr>
        <w:t xml:space="preserve"> January and November to request that you notify NHS England if you intend to open on </w:t>
      </w:r>
      <w:r w:rsidR="005E25ED">
        <w:rPr>
          <w:rFonts w:ascii="Arial" w:eastAsia="Times New Roman" w:hAnsi="Arial" w:cs="Arial"/>
          <w:sz w:val="24"/>
          <w:szCs w:val="24"/>
          <w:lang w:eastAsia="en-GB"/>
        </w:rPr>
        <w:t>the Bank Holidays identified</w:t>
      </w:r>
      <w:r w:rsidR="002D0957">
        <w:rPr>
          <w:rFonts w:ascii="Arial" w:eastAsia="Times New Roman" w:hAnsi="Arial" w:cs="Arial"/>
          <w:sz w:val="24"/>
          <w:szCs w:val="24"/>
          <w:lang w:eastAsia="en-GB"/>
        </w:rPr>
        <w:t xml:space="preserve"> in th</w:t>
      </w:r>
      <w:r w:rsidR="00A977FE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2D0957">
        <w:rPr>
          <w:rFonts w:ascii="Arial" w:eastAsia="Times New Roman" w:hAnsi="Arial" w:cs="Arial"/>
          <w:sz w:val="24"/>
          <w:szCs w:val="24"/>
          <w:lang w:eastAsia="en-GB"/>
        </w:rPr>
        <w:t xml:space="preserve"> letters</w:t>
      </w:r>
      <w:r w:rsidR="005E25E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3D88FB00" w14:textId="77777777" w:rsidR="002D0957" w:rsidRDefault="002D0957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11F1E9" w14:textId="77777777" w:rsidR="002D0957" w:rsidRDefault="002D0957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complete the table below;</w:t>
      </w:r>
    </w:p>
    <w:p w14:paraId="0A7A595B" w14:textId="77777777" w:rsidR="009B67CE" w:rsidRDefault="009B67CE" w:rsidP="00A2403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527"/>
        <w:gridCol w:w="1254"/>
        <w:gridCol w:w="1715"/>
        <w:gridCol w:w="1523"/>
        <w:gridCol w:w="1478"/>
      </w:tblGrid>
      <w:tr w:rsidR="001A058C" w14:paraId="0FF4A3ED" w14:textId="77777777" w:rsidTr="001A058C">
        <w:tc>
          <w:tcPr>
            <w:tcW w:w="1540" w:type="dxa"/>
          </w:tcPr>
          <w:p w14:paraId="12C2A625" w14:textId="77777777" w:rsidR="009B67CE" w:rsidRDefault="009B67CE" w:rsidP="00A240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0" w:type="dxa"/>
          </w:tcPr>
          <w:p w14:paraId="506C81C1" w14:textId="77777777" w:rsidR="009B67CE" w:rsidRDefault="009B67CE" w:rsidP="00A240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81" w:type="dxa"/>
          </w:tcPr>
          <w:p w14:paraId="6DBA984F" w14:textId="77777777" w:rsidR="009B67CE" w:rsidRDefault="009B67CE" w:rsidP="001A058C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B67CE">
              <w:rPr>
                <w:rFonts w:ascii="Arial" w:eastAsia="Times New Roman" w:hAnsi="Arial" w:cs="Arial"/>
                <w:b/>
                <w:lang w:eastAsia="en-GB"/>
              </w:rPr>
              <w:t>Closed</w:t>
            </w:r>
            <w:r w:rsidR="00C602FD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1A058C">
              <w:rPr>
                <w:rFonts w:ascii="Arial" w:eastAsia="Times New Roman" w:hAnsi="Arial" w:cs="Arial"/>
                <w:b/>
                <w:lang w:eastAsia="en-GB"/>
              </w:rPr>
              <w:t>(</w:t>
            </w:r>
            <w:r w:rsidR="001A058C" w:rsidRPr="001A058C">
              <w:rPr>
                <w:rFonts w:ascii="Arial" w:eastAsia="Times New Roman" w:hAnsi="Arial" w:cs="Arial"/>
                <w:b/>
                <w:lang w:eastAsia="en-GB"/>
              </w:rPr>
              <w:t>√)</w:t>
            </w:r>
          </w:p>
          <w:p w14:paraId="2A720EAE" w14:textId="77777777" w:rsidR="001A058C" w:rsidRPr="009B67CE" w:rsidRDefault="001A058C" w:rsidP="001A058C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799" w:type="dxa"/>
          </w:tcPr>
          <w:p w14:paraId="74A9E5FA" w14:textId="77777777" w:rsidR="009B67CE" w:rsidRPr="009B67CE" w:rsidRDefault="009B67CE" w:rsidP="009B67CE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B67CE">
              <w:rPr>
                <w:rFonts w:ascii="Arial" w:eastAsia="Times New Roman" w:hAnsi="Arial" w:cs="Arial"/>
                <w:b/>
                <w:lang w:eastAsia="en-GB"/>
              </w:rPr>
              <w:t>Open from</w:t>
            </w:r>
          </w:p>
        </w:tc>
        <w:tc>
          <w:tcPr>
            <w:tcW w:w="1541" w:type="dxa"/>
          </w:tcPr>
          <w:p w14:paraId="34E88D93" w14:textId="77777777" w:rsidR="009B67CE" w:rsidRPr="009B67CE" w:rsidRDefault="001A058C" w:rsidP="009B67CE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Lunchtime</w:t>
            </w:r>
          </w:p>
        </w:tc>
        <w:tc>
          <w:tcPr>
            <w:tcW w:w="1541" w:type="dxa"/>
          </w:tcPr>
          <w:p w14:paraId="588C0DA7" w14:textId="77777777" w:rsidR="009B67CE" w:rsidRPr="009B67CE" w:rsidRDefault="001A058C" w:rsidP="009B67CE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Open until</w:t>
            </w:r>
          </w:p>
        </w:tc>
      </w:tr>
      <w:tr w:rsidR="00526458" w14:paraId="2F07C515" w14:textId="77777777" w:rsidTr="001A058C">
        <w:tc>
          <w:tcPr>
            <w:tcW w:w="1540" w:type="dxa"/>
          </w:tcPr>
          <w:p w14:paraId="37416FEC" w14:textId="77777777" w:rsidR="00526458" w:rsidRPr="009B67CE" w:rsidRDefault="00526458" w:rsidP="00526458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9B67CE">
              <w:rPr>
                <w:rFonts w:ascii="Arial" w:eastAsia="Times New Roman" w:hAnsi="Arial" w:cs="Arial"/>
                <w:b/>
                <w:lang w:eastAsia="en-GB"/>
              </w:rPr>
              <w:t>Christmas Day</w:t>
            </w:r>
          </w:p>
        </w:tc>
        <w:tc>
          <w:tcPr>
            <w:tcW w:w="1540" w:type="dxa"/>
          </w:tcPr>
          <w:p w14:paraId="646F8CBF" w14:textId="77777777" w:rsidR="00526458" w:rsidRDefault="00526458" w:rsidP="00526458">
            <w:pPr>
              <w:rPr>
                <w:rFonts w:ascii="Arial" w:eastAsia="Times New Roman" w:hAnsi="Arial" w:cs="Arial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lang w:eastAsia="en-GB"/>
              </w:rPr>
              <w:t>Wednesday  25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December</w:t>
            </w:r>
          </w:p>
          <w:p w14:paraId="26775753" w14:textId="77777777" w:rsidR="00526458" w:rsidRDefault="00526458" w:rsidP="0052645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81" w:type="dxa"/>
            <w:vAlign w:val="center"/>
          </w:tcPr>
          <w:p w14:paraId="4B5DE01F" w14:textId="77777777" w:rsidR="00526458" w:rsidRDefault="00526458" w:rsidP="00526458">
            <w:pPr>
              <w:jc w:val="center"/>
            </w:pPr>
          </w:p>
        </w:tc>
        <w:tc>
          <w:tcPr>
            <w:tcW w:w="1799" w:type="dxa"/>
          </w:tcPr>
          <w:p w14:paraId="6B6BDE59" w14:textId="77777777" w:rsidR="00526458" w:rsidRDefault="00526458" w:rsidP="0052645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1" w:type="dxa"/>
          </w:tcPr>
          <w:p w14:paraId="243DFB6A" w14:textId="77777777" w:rsidR="00526458" w:rsidRDefault="00526458" w:rsidP="0052645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1" w:type="dxa"/>
          </w:tcPr>
          <w:p w14:paraId="78E2C761" w14:textId="77777777" w:rsidR="00526458" w:rsidRDefault="00526458" w:rsidP="00526458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26458" w14:paraId="4528346E" w14:textId="77777777" w:rsidTr="001A058C">
        <w:tc>
          <w:tcPr>
            <w:tcW w:w="1540" w:type="dxa"/>
          </w:tcPr>
          <w:p w14:paraId="58207F62" w14:textId="77777777" w:rsidR="00526458" w:rsidRPr="009B67CE" w:rsidRDefault="00526458" w:rsidP="00526458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9B67CE">
              <w:rPr>
                <w:rFonts w:ascii="Arial" w:eastAsia="Times New Roman" w:hAnsi="Arial" w:cs="Arial"/>
                <w:b/>
                <w:lang w:eastAsia="en-GB"/>
              </w:rPr>
              <w:t>Boxing Day</w:t>
            </w:r>
          </w:p>
        </w:tc>
        <w:tc>
          <w:tcPr>
            <w:tcW w:w="1540" w:type="dxa"/>
          </w:tcPr>
          <w:p w14:paraId="71C3BAC0" w14:textId="77777777" w:rsidR="00526458" w:rsidRDefault="00526458" w:rsidP="00526458">
            <w:pPr>
              <w:rPr>
                <w:rFonts w:ascii="Arial" w:eastAsia="Times New Roman" w:hAnsi="Arial" w:cs="Arial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lang w:eastAsia="en-GB"/>
              </w:rPr>
              <w:t>Thursday  26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December</w:t>
            </w:r>
          </w:p>
          <w:p w14:paraId="7CE04405" w14:textId="77777777" w:rsidR="00526458" w:rsidRDefault="00526458" w:rsidP="0052645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81" w:type="dxa"/>
            <w:vAlign w:val="center"/>
          </w:tcPr>
          <w:p w14:paraId="429E5FCA" w14:textId="77777777" w:rsidR="00526458" w:rsidRDefault="00526458" w:rsidP="00526458">
            <w:pPr>
              <w:jc w:val="center"/>
            </w:pPr>
          </w:p>
        </w:tc>
        <w:tc>
          <w:tcPr>
            <w:tcW w:w="1799" w:type="dxa"/>
          </w:tcPr>
          <w:p w14:paraId="50CD987B" w14:textId="77777777" w:rsidR="00526458" w:rsidRDefault="00526458" w:rsidP="0052645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1" w:type="dxa"/>
          </w:tcPr>
          <w:p w14:paraId="7A5F8730" w14:textId="77777777" w:rsidR="00526458" w:rsidRDefault="00526458" w:rsidP="0052645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1" w:type="dxa"/>
          </w:tcPr>
          <w:p w14:paraId="3DD23AD8" w14:textId="77777777" w:rsidR="00526458" w:rsidRDefault="00526458" w:rsidP="00526458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26458" w14:paraId="0797EB04" w14:textId="77777777" w:rsidTr="001A058C">
        <w:tc>
          <w:tcPr>
            <w:tcW w:w="1540" w:type="dxa"/>
          </w:tcPr>
          <w:p w14:paraId="32703023" w14:textId="77777777" w:rsidR="00526458" w:rsidRDefault="00526458" w:rsidP="00526458">
            <w:pPr>
              <w:rPr>
                <w:rFonts w:ascii="Arial" w:eastAsia="Times New Roman" w:hAnsi="Arial" w:cs="Arial"/>
                <w:b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en-GB"/>
              </w:rPr>
              <w:t>New year’s Day</w:t>
            </w:r>
            <w:proofErr w:type="gramEnd"/>
          </w:p>
        </w:tc>
        <w:tc>
          <w:tcPr>
            <w:tcW w:w="1540" w:type="dxa"/>
          </w:tcPr>
          <w:p w14:paraId="14F36FD5" w14:textId="77777777" w:rsidR="00526458" w:rsidRDefault="00526458" w:rsidP="0052645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Wednesday 1 January</w:t>
            </w:r>
          </w:p>
          <w:p w14:paraId="5A15EBEF" w14:textId="77777777" w:rsidR="00526458" w:rsidRDefault="00526458" w:rsidP="0052645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2020</w:t>
            </w:r>
          </w:p>
        </w:tc>
        <w:tc>
          <w:tcPr>
            <w:tcW w:w="1281" w:type="dxa"/>
            <w:vAlign w:val="center"/>
          </w:tcPr>
          <w:p w14:paraId="16091A73" w14:textId="77777777" w:rsidR="00526458" w:rsidRPr="00153503" w:rsidRDefault="00526458" w:rsidP="0052645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99" w:type="dxa"/>
          </w:tcPr>
          <w:p w14:paraId="76487375" w14:textId="77777777" w:rsidR="00526458" w:rsidRDefault="00526458" w:rsidP="0052645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1" w:type="dxa"/>
          </w:tcPr>
          <w:p w14:paraId="54824CDC" w14:textId="77777777" w:rsidR="00526458" w:rsidRDefault="00526458" w:rsidP="0052645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1" w:type="dxa"/>
          </w:tcPr>
          <w:p w14:paraId="25CB696B" w14:textId="77777777" w:rsidR="00526458" w:rsidRDefault="00526458" w:rsidP="00526458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A1FB452" w14:textId="77777777" w:rsidR="009B67CE" w:rsidRPr="00C602FD" w:rsidRDefault="009B67CE" w:rsidP="00C602F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D558CA6" w14:textId="77777777" w:rsidR="00B56C92" w:rsidRDefault="009B67CE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6155E">
        <w:rPr>
          <w:rFonts w:ascii="Arial" w:eastAsia="Times New Roman" w:hAnsi="Arial" w:cs="Arial"/>
          <w:sz w:val="24"/>
          <w:szCs w:val="24"/>
          <w:lang w:eastAsia="en-GB"/>
        </w:rPr>
        <w:t xml:space="preserve">I </w:t>
      </w:r>
      <w:r w:rsidR="005E25ED">
        <w:rPr>
          <w:rFonts w:ascii="Arial" w:eastAsia="Times New Roman" w:hAnsi="Arial" w:cs="Arial"/>
          <w:sz w:val="24"/>
          <w:szCs w:val="24"/>
          <w:lang w:eastAsia="en-GB"/>
        </w:rPr>
        <w:t>understand that the opening hours above will be considered contractual hours and any amendment to these hours must follow the relevant process for amending supplementary hours.</w:t>
      </w:r>
    </w:p>
    <w:p w14:paraId="3601947F" w14:textId="77777777" w:rsidR="005E25ED" w:rsidRDefault="005E25ED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AA9DF5" w14:textId="77777777"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1083C">
        <w:rPr>
          <w:rFonts w:ascii="Arial" w:eastAsia="Times New Roman" w:hAnsi="Arial" w:cs="Arial"/>
          <w:sz w:val="24"/>
          <w:szCs w:val="24"/>
          <w:lang w:eastAsia="en-GB"/>
        </w:rPr>
        <w:t>Signature …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………………………………………………………………………………..</w:t>
      </w:r>
    </w:p>
    <w:p w14:paraId="2D7AA755" w14:textId="77777777"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722DF0" w14:textId="77777777"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1083C">
        <w:rPr>
          <w:rFonts w:ascii="Arial" w:eastAsia="Times New Roman" w:hAnsi="Arial" w:cs="Arial"/>
          <w:sz w:val="24"/>
          <w:szCs w:val="24"/>
          <w:lang w:eastAsia="en-GB"/>
        </w:rPr>
        <w:t>Name ……………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………………………………………………………………………….</w:t>
      </w:r>
    </w:p>
    <w:p w14:paraId="185923A9" w14:textId="77777777"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B9CB35" w14:textId="77777777"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1083C">
        <w:rPr>
          <w:rFonts w:ascii="Arial" w:eastAsia="Times New Roman" w:hAnsi="Arial" w:cs="Arial"/>
          <w:sz w:val="24"/>
          <w:szCs w:val="24"/>
          <w:lang w:eastAsia="en-GB"/>
        </w:rPr>
        <w:t>Position …………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………………………………………………………………………….</w:t>
      </w:r>
    </w:p>
    <w:p w14:paraId="28B58EAA" w14:textId="77777777"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82EE480" w14:textId="77777777"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1083C">
        <w:rPr>
          <w:rFonts w:ascii="Arial" w:eastAsia="Times New Roman" w:hAnsi="Arial" w:cs="Arial"/>
          <w:sz w:val="24"/>
          <w:szCs w:val="24"/>
          <w:lang w:eastAsia="en-GB"/>
        </w:rPr>
        <w:t>Date ………………………………....................................................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en-GB"/>
        </w:rPr>
        <w:t>.............................</w:t>
      </w:r>
    </w:p>
    <w:p w14:paraId="1A00ED0D" w14:textId="77777777"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92CA70" w14:textId="77777777" w:rsidR="00B56C92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1083C">
        <w:rPr>
          <w:rFonts w:ascii="Arial" w:eastAsia="Times New Roman" w:hAnsi="Arial" w:cs="Arial"/>
          <w:sz w:val="24"/>
          <w:szCs w:val="24"/>
          <w:lang w:eastAsia="en-GB"/>
        </w:rPr>
        <w:lastRenderedPageBreak/>
        <w:t>On behalf of 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</w:t>
      </w:r>
      <w:r w:rsidRPr="00F1083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A6D05CE" w14:textId="77777777"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1083C">
        <w:rPr>
          <w:rFonts w:ascii="Arial" w:eastAsia="Times New Roman" w:hAnsi="Arial" w:cs="Arial"/>
          <w:sz w:val="24"/>
          <w:szCs w:val="24"/>
          <w:lang w:eastAsia="en-GB"/>
        </w:rPr>
        <w:t>(insert name of contractor)</w:t>
      </w:r>
    </w:p>
    <w:p w14:paraId="13845E85" w14:textId="77777777" w:rsidR="00A24031" w:rsidRDefault="00A24031" w:rsidP="00A2403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82ACE03" w14:textId="77777777" w:rsidR="00A24031" w:rsidRDefault="009B67CE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67CE">
        <w:rPr>
          <w:rFonts w:ascii="Arial" w:eastAsia="Times New Roman" w:hAnsi="Arial" w:cs="Arial"/>
          <w:sz w:val="24"/>
          <w:szCs w:val="24"/>
          <w:lang w:eastAsia="en-GB"/>
        </w:rPr>
        <w:t xml:space="preserve">Contact </w:t>
      </w:r>
      <w:r>
        <w:rPr>
          <w:rFonts w:ascii="Arial" w:eastAsia="Times New Roman" w:hAnsi="Arial" w:cs="Arial"/>
          <w:sz w:val="24"/>
          <w:szCs w:val="24"/>
          <w:lang w:eastAsia="en-GB"/>
        </w:rPr>
        <w:t>email address</w:t>
      </w:r>
      <w:r w:rsidRPr="009B67CE">
        <w:rPr>
          <w:rFonts w:ascii="Arial" w:eastAsia="Times New Roman" w:hAnsi="Arial" w:cs="Arial"/>
          <w:sz w:val="24"/>
          <w:szCs w:val="24"/>
          <w:lang w:eastAsia="en-GB"/>
        </w:rPr>
        <w:t xml:space="preserve"> in case of queries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…………………………………………………</w:t>
      </w:r>
    </w:p>
    <w:p w14:paraId="7D2E1DAE" w14:textId="77777777" w:rsidR="009B67CE" w:rsidRDefault="009B67CE" w:rsidP="00A2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359F2F" w14:textId="77777777" w:rsidR="009B67CE" w:rsidRDefault="009B67CE" w:rsidP="00971E6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Contact phone number in case of queries …………………………………………………</w:t>
      </w:r>
    </w:p>
    <w:p w14:paraId="3D28BB65" w14:textId="77777777" w:rsidR="000E4876" w:rsidRPr="009B67CE" w:rsidRDefault="000E4876" w:rsidP="00971E6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(Please ensure you follow your company’s process for the signing of contracts and agreements).</w:t>
      </w:r>
    </w:p>
    <w:p w14:paraId="5EA9EC21" w14:textId="77777777" w:rsidR="00AD4631" w:rsidRPr="00647BCE" w:rsidRDefault="00647BCE" w:rsidP="0032169E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Note: </w:t>
      </w:r>
      <w:r w:rsidR="00AD4631" w:rsidRPr="00647BCE">
        <w:rPr>
          <w:rFonts w:ascii="Arial" w:hAnsi="Arial" w:cs="Arial"/>
          <w:sz w:val="24"/>
          <w:szCs w:val="24"/>
        </w:rPr>
        <w:t xml:space="preserve">Christmas Eve and New Year’s Eve are not classed as Bank Holidays and therefore any change to normal opening hours must dealt </w:t>
      </w:r>
      <w:r w:rsidR="00411B47" w:rsidRPr="00647BCE">
        <w:rPr>
          <w:rFonts w:ascii="Arial" w:hAnsi="Arial" w:cs="Arial"/>
          <w:sz w:val="24"/>
          <w:szCs w:val="24"/>
        </w:rPr>
        <w:t xml:space="preserve">by completion of the appropriate forms (see PSNC website) </w:t>
      </w:r>
      <w:r w:rsidR="00AD4631" w:rsidRPr="00647BCE">
        <w:rPr>
          <w:rFonts w:ascii="Arial" w:hAnsi="Arial" w:cs="Arial"/>
          <w:sz w:val="24"/>
          <w:szCs w:val="24"/>
        </w:rPr>
        <w:t>in the follow manner:</w:t>
      </w:r>
    </w:p>
    <w:p w14:paraId="37D4910B" w14:textId="77777777" w:rsidR="00AD4631" w:rsidRPr="00647BCE" w:rsidRDefault="00AD4631" w:rsidP="0032169E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  <w:sz w:val="24"/>
          <w:szCs w:val="24"/>
        </w:rPr>
      </w:pPr>
      <w:r w:rsidRPr="00647BCE">
        <w:rPr>
          <w:rFonts w:ascii="Arial" w:hAnsi="Arial" w:cs="Arial"/>
          <w:sz w:val="24"/>
          <w:szCs w:val="24"/>
        </w:rPr>
        <w:t xml:space="preserve">Supplementary hours – NHS England must be given at least 90 </w:t>
      </w:r>
      <w:r w:rsidR="0032169E" w:rsidRPr="00647BCE">
        <w:rPr>
          <w:rFonts w:ascii="Arial" w:hAnsi="Arial" w:cs="Arial"/>
          <w:sz w:val="24"/>
          <w:szCs w:val="24"/>
        </w:rPr>
        <w:t>days’ notice</w:t>
      </w:r>
      <w:r w:rsidRPr="00647BCE">
        <w:rPr>
          <w:rFonts w:ascii="Arial" w:hAnsi="Arial" w:cs="Arial"/>
          <w:sz w:val="24"/>
          <w:szCs w:val="24"/>
        </w:rPr>
        <w:t xml:space="preserve"> of change</w:t>
      </w:r>
      <w:r w:rsidR="001A058C" w:rsidRPr="00647BCE">
        <w:rPr>
          <w:rFonts w:ascii="Arial" w:hAnsi="Arial" w:cs="Arial"/>
          <w:sz w:val="24"/>
          <w:szCs w:val="24"/>
        </w:rPr>
        <w:t xml:space="preserve"> using the appropriate form</w:t>
      </w:r>
      <w:r w:rsidRPr="00647BCE">
        <w:rPr>
          <w:rFonts w:ascii="Arial" w:hAnsi="Arial" w:cs="Arial"/>
          <w:i/>
          <w:sz w:val="24"/>
          <w:szCs w:val="24"/>
        </w:rPr>
        <w:t>;</w:t>
      </w:r>
    </w:p>
    <w:p w14:paraId="70CD31C7" w14:textId="77777777" w:rsidR="007C5C9D" w:rsidRPr="00647BCE" w:rsidRDefault="00AD4631" w:rsidP="00647BCE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  <w:sz w:val="24"/>
          <w:szCs w:val="24"/>
        </w:rPr>
      </w:pPr>
      <w:r w:rsidRPr="00647BCE">
        <w:rPr>
          <w:rFonts w:ascii="Arial" w:hAnsi="Arial" w:cs="Arial"/>
          <w:sz w:val="24"/>
          <w:szCs w:val="24"/>
        </w:rPr>
        <w:t>Core Hours – the contractor</w:t>
      </w:r>
      <w:r w:rsidR="0032169E" w:rsidRPr="00647BCE">
        <w:rPr>
          <w:rFonts w:ascii="Arial" w:hAnsi="Arial" w:cs="Arial"/>
          <w:sz w:val="24"/>
          <w:szCs w:val="24"/>
        </w:rPr>
        <w:t xml:space="preserve"> must apply to NHS England, supporting the application with robust evidence of a change to the needs of customers and why the change is not for </w:t>
      </w:r>
      <w:r w:rsidR="009E672C" w:rsidRPr="00647BCE">
        <w:rPr>
          <w:rFonts w:ascii="Arial" w:hAnsi="Arial" w:cs="Arial"/>
          <w:sz w:val="24"/>
          <w:szCs w:val="24"/>
        </w:rPr>
        <w:t xml:space="preserve">purely </w:t>
      </w:r>
      <w:r w:rsidR="001A058C" w:rsidRPr="00647BCE">
        <w:rPr>
          <w:rFonts w:ascii="Arial" w:hAnsi="Arial" w:cs="Arial"/>
          <w:sz w:val="24"/>
          <w:szCs w:val="24"/>
        </w:rPr>
        <w:t>business convenience.</w:t>
      </w:r>
    </w:p>
    <w:p w14:paraId="0AFB96E2" w14:textId="77777777" w:rsidR="007C5C9D" w:rsidRPr="00647BCE" w:rsidRDefault="001A058C" w:rsidP="001A058C">
      <w:pPr>
        <w:spacing w:after="60"/>
        <w:rPr>
          <w:rFonts w:ascii="Arial" w:eastAsia="Times New Roman" w:hAnsi="Arial" w:cs="Arial"/>
          <w:sz w:val="24"/>
          <w:szCs w:val="24"/>
          <w:lang w:eastAsia="en-GB"/>
        </w:rPr>
      </w:pPr>
      <w:r w:rsidRPr="00647BCE">
        <w:rPr>
          <w:rFonts w:ascii="Arial" w:eastAsia="Times New Roman" w:hAnsi="Arial" w:cs="Arial"/>
          <w:sz w:val="24"/>
          <w:szCs w:val="24"/>
          <w:lang w:eastAsia="en-GB"/>
        </w:rPr>
        <w:t xml:space="preserve">Christmas Eve – </w:t>
      </w:r>
      <w:r w:rsidR="00B52796">
        <w:rPr>
          <w:rFonts w:ascii="Arial" w:eastAsia="Times New Roman" w:hAnsi="Arial" w:cs="Arial"/>
          <w:sz w:val="24"/>
          <w:szCs w:val="24"/>
          <w:lang w:eastAsia="en-GB"/>
        </w:rPr>
        <w:t>Tuesday</w:t>
      </w:r>
      <w:r w:rsidR="009274A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47BCE">
        <w:rPr>
          <w:rFonts w:ascii="Arial" w:eastAsia="Times New Roman" w:hAnsi="Arial" w:cs="Arial"/>
          <w:sz w:val="24"/>
          <w:szCs w:val="24"/>
          <w:lang w:eastAsia="en-GB"/>
        </w:rPr>
        <w:t>24</w:t>
      </w:r>
      <w:r w:rsidRPr="00647BC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647BCE">
        <w:rPr>
          <w:rFonts w:ascii="Arial" w:eastAsia="Times New Roman" w:hAnsi="Arial" w:cs="Arial"/>
          <w:sz w:val="24"/>
          <w:szCs w:val="24"/>
          <w:lang w:eastAsia="en-GB"/>
        </w:rPr>
        <w:t xml:space="preserve"> December 201</w:t>
      </w:r>
      <w:r w:rsidR="00B52796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Pr="00647BCE">
        <w:rPr>
          <w:rFonts w:ascii="Arial" w:eastAsia="Times New Roman" w:hAnsi="Arial" w:cs="Arial"/>
          <w:sz w:val="24"/>
          <w:szCs w:val="24"/>
          <w:lang w:eastAsia="en-GB"/>
        </w:rPr>
        <w:t xml:space="preserve"> - Notifications of changes to Supplementary Hours or applications to change Core Hours need to be </w:t>
      </w:r>
      <w:r w:rsidR="00647BCE">
        <w:rPr>
          <w:rFonts w:ascii="Arial" w:eastAsia="Times New Roman" w:hAnsi="Arial" w:cs="Arial"/>
          <w:sz w:val="24"/>
          <w:szCs w:val="24"/>
          <w:lang w:eastAsia="en-GB"/>
        </w:rPr>
        <w:t>received by NHS England</w:t>
      </w:r>
      <w:r w:rsidRPr="00647BCE">
        <w:rPr>
          <w:rFonts w:ascii="Arial" w:eastAsia="Times New Roman" w:hAnsi="Arial" w:cs="Arial"/>
          <w:sz w:val="24"/>
          <w:szCs w:val="24"/>
          <w:lang w:eastAsia="en-GB"/>
        </w:rPr>
        <w:t xml:space="preserve"> before 25</w:t>
      </w:r>
      <w:r w:rsidRPr="00647BC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647BCE">
        <w:rPr>
          <w:rFonts w:ascii="Arial" w:eastAsia="Times New Roman" w:hAnsi="Arial" w:cs="Arial"/>
          <w:sz w:val="24"/>
          <w:szCs w:val="24"/>
          <w:lang w:eastAsia="en-GB"/>
        </w:rPr>
        <w:t xml:space="preserve"> September 201</w:t>
      </w:r>
      <w:r w:rsidR="00B52796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Pr="00647BC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0D80BAE" w14:textId="77777777" w:rsidR="001A058C" w:rsidRDefault="001A058C" w:rsidP="001A058C">
      <w:pPr>
        <w:spacing w:after="60"/>
        <w:rPr>
          <w:rFonts w:ascii="Arial" w:eastAsia="Times New Roman" w:hAnsi="Arial" w:cs="Arial"/>
          <w:sz w:val="24"/>
          <w:szCs w:val="24"/>
          <w:lang w:eastAsia="en-GB"/>
        </w:rPr>
      </w:pPr>
      <w:r w:rsidRPr="00647BCE">
        <w:rPr>
          <w:rFonts w:ascii="Arial" w:eastAsia="Times New Roman" w:hAnsi="Arial" w:cs="Arial"/>
          <w:sz w:val="24"/>
          <w:szCs w:val="24"/>
          <w:lang w:eastAsia="en-GB"/>
        </w:rPr>
        <w:t xml:space="preserve">New Year’s Eve – </w:t>
      </w:r>
      <w:r w:rsidR="00B52796">
        <w:rPr>
          <w:rFonts w:ascii="Arial" w:eastAsia="Times New Roman" w:hAnsi="Arial" w:cs="Arial"/>
          <w:sz w:val="24"/>
          <w:szCs w:val="24"/>
          <w:lang w:eastAsia="en-GB"/>
        </w:rPr>
        <w:t>Tuesday</w:t>
      </w:r>
      <w:r w:rsidRPr="00647BCE">
        <w:rPr>
          <w:rFonts w:ascii="Arial" w:eastAsia="Times New Roman" w:hAnsi="Arial" w:cs="Arial"/>
          <w:sz w:val="24"/>
          <w:szCs w:val="24"/>
          <w:lang w:eastAsia="en-GB"/>
        </w:rPr>
        <w:t xml:space="preserve"> 31</w:t>
      </w:r>
      <w:r w:rsidRPr="00647BC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Pr="00647BCE">
        <w:rPr>
          <w:rFonts w:ascii="Arial" w:eastAsia="Times New Roman" w:hAnsi="Arial" w:cs="Arial"/>
          <w:sz w:val="24"/>
          <w:szCs w:val="24"/>
          <w:lang w:eastAsia="en-GB"/>
        </w:rPr>
        <w:t xml:space="preserve"> December 201</w:t>
      </w:r>
      <w:r w:rsidR="00B52796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Pr="00647BCE">
        <w:rPr>
          <w:rFonts w:ascii="Arial" w:eastAsia="Times New Roman" w:hAnsi="Arial" w:cs="Arial"/>
          <w:sz w:val="24"/>
          <w:szCs w:val="24"/>
          <w:lang w:eastAsia="en-GB"/>
        </w:rPr>
        <w:t xml:space="preserve"> - Notifications of changes to Supplementary Hours or applications to change Core Hours </w:t>
      </w:r>
      <w:r w:rsidR="00647BCE" w:rsidRPr="00647BCE">
        <w:rPr>
          <w:rFonts w:ascii="Arial" w:eastAsia="Times New Roman" w:hAnsi="Arial" w:cs="Arial"/>
          <w:sz w:val="24"/>
          <w:szCs w:val="24"/>
          <w:lang w:eastAsia="en-GB"/>
        </w:rPr>
        <w:t xml:space="preserve">need to be </w:t>
      </w:r>
      <w:r w:rsidR="00647BCE">
        <w:rPr>
          <w:rFonts w:ascii="Arial" w:eastAsia="Times New Roman" w:hAnsi="Arial" w:cs="Arial"/>
          <w:sz w:val="24"/>
          <w:szCs w:val="24"/>
          <w:lang w:eastAsia="en-GB"/>
        </w:rPr>
        <w:t>received by NHS England</w:t>
      </w:r>
      <w:r w:rsidR="00647BCE" w:rsidRPr="00647BCE">
        <w:rPr>
          <w:rFonts w:ascii="Arial" w:eastAsia="Times New Roman" w:hAnsi="Arial" w:cs="Arial"/>
          <w:sz w:val="24"/>
          <w:szCs w:val="24"/>
          <w:lang w:eastAsia="en-GB"/>
        </w:rPr>
        <w:t xml:space="preserve"> before</w:t>
      </w:r>
      <w:r w:rsidRPr="00647BCE">
        <w:rPr>
          <w:rFonts w:ascii="Arial" w:eastAsia="Times New Roman" w:hAnsi="Arial" w:cs="Arial"/>
          <w:sz w:val="24"/>
          <w:szCs w:val="24"/>
          <w:lang w:eastAsia="en-GB"/>
        </w:rPr>
        <w:t xml:space="preserve"> 2</w:t>
      </w:r>
      <w:r w:rsidRPr="00647BC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nd</w:t>
      </w:r>
      <w:r w:rsidRPr="00647BCE">
        <w:rPr>
          <w:rFonts w:ascii="Arial" w:eastAsia="Times New Roman" w:hAnsi="Arial" w:cs="Arial"/>
          <w:sz w:val="24"/>
          <w:szCs w:val="24"/>
          <w:lang w:eastAsia="en-GB"/>
        </w:rPr>
        <w:t xml:space="preserve"> October 201</w:t>
      </w:r>
      <w:r w:rsidR="00B52796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="00F004D6" w:rsidRPr="00647BC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B44F92A" w14:textId="77777777" w:rsidR="00F004D6" w:rsidRPr="001A058C" w:rsidRDefault="00F004D6" w:rsidP="0041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Please return </w:t>
      </w:r>
      <w:r w:rsidR="00411B47">
        <w:rPr>
          <w:rFonts w:ascii="Arial" w:eastAsia="Times New Roman" w:hAnsi="Arial" w:cs="Arial"/>
          <w:b/>
          <w:sz w:val="24"/>
          <w:szCs w:val="24"/>
          <w:lang w:eastAsia="en-GB"/>
        </w:rPr>
        <w:t>completed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form</w:t>
      </w:r>
      <w:r w:rsidR="00411B47">
        <w:rPr>
          <w:rFonts w:ascii="Arial" w:eastAsia="Times New Roman" w:hAnsi="Arial" w:cs="Arial"/>
          <w:b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to the generic </w:t>
      </w:r>
      <w:r w:rsidR="00411B4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NHS England primary care inbox: </w:t>
      </w:r>
      <w:hyperlink r:id="rId8" w:history="1">
        <w:r w:rsidR="009274AA" w:rsidRPr="00F80599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>england.wyat-phes@nhs.net</w:t>
        </w:r>
      </w:hyperlink>
    </w:p>
    <w:sectPr w:rsidR="00F004D6" w:rsidRPr="001A058C" w:rsidSect="00A81BA9"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EF980" w14:textId="77777777" w:rsidR="00F95B48" w:rsidRDefault="00F95B48" w:rsidP="00A24031">
      <w:pPr>
        <w:spacing w:after="0" w:line="240" w:lineRule="auto"/>
      </w:pPr>
      <w:r>
        <w:separator/>
      </w:r>
    </w:p>
  </w:endnote>
  <w:endnote w:type="continuationSeparator" w:id="0">
    <w:p w14:paraId="56EF7A60" w14:textId="77777777" w:rsidR="00F95B48" w:rsidRDefault="00F95B48" w:rsidP="00A2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D24B9" w14:textId="77777777" w:rsidR="00A81BA9" w:rsidRDefault="00A81BA9" w:rsidP="00A81BA9">
    <w:pPr>
      <w:pStyle w:val="Footer"/>
    </w:pPr>
  </w:p>
  <w:p w14:paraId="0996A45A" w14:textId="77777777" w:rsidR="00A81BA9" w:rsidRDefault="00A81BA9">
    <w:pPr>
      <w:pStyle w:val="Footer"/>
    </w:pPr>
  </w:p>
  <w:p w14:paraId="732BCDAF" w14:textId="77777777" w:rsidR="00A24031" w:rsidRDefault="00A24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BF5C8" w14:textId="77777777" w:rsidR="00F95B48" w:rsidRDefault="00F95B48" w:rsidP="00A24031">
      <w:pPr>
        <w:spacing w:after="0" w:line="240" w:lineRule="auto"/>
      </w:pPr>
      <w:r>
        <w:separator/>
      </w:r>
    </w:p>
  </w:footnote>
  <w:footnote w:type="continuationSeparator" w:id="0">
    <w:p w14:paraId="65B79265" w14:textId="77777777" w:rsidR="00F95B48" w:rsidRDefault="00F95B48" w:rsidP="00A2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8979D" w14:textId="77777777" w:rsidR="00C40881" w:rsidRDefault="00C40881" w:rsidP="00C40881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F26D873" wp14:editId="104AA7EB">
          <wp:simplePos x="0" y="0"/>
          <wp:positionH relativeFrom="column">
            <wp:posOffset>5176520</wp:posOffset>
          </wp:positionH>
          <wp:positionV relativeFrom="paragraph">
            <wp:posOffset>-257810</wp:posOffset>
          </wp:positionV>
          <wp:extent cx="916940" cy="569595"/>
          <wp:effectExtent l="0" t="0" r="0" b="1905"/>
          <wp:wrapTight wrapText="bothSides">
            <wp:wrapPolygon edited="0">
              <wp:start x="0" y="0"/>
              <wp:lineTo x="0" y="20950"/>
              <wp:lineTo x="21091" y="20950"/>
              <wp:lineTo x="21091" y="0"/>
              <wp:lineTo x="0" y="0"/>
            </wp:wrapPolygon>
          </wp:wrapTight>
          <wp:docPr id="2" name="Picture 2" descr="NHS England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England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B18AAD4" wp14:editId="1C5E534C">
          <wp:simplePos x="0" y="0"/>
          <wp:positionH relativeFrom="column">
            <wp:posOffset>4563110</wp:posOffset>
          </wp:positionH>
          <wp:positionV relativeFrom="paragraph">
            <wp:posOffset>-200660</wp:posOffset>
          </wp:positionV>
          <wp:extent cx="489585" cy="569595"/>
          <wp:effectExtent l="0" t="0" r="5715" b="1905"/>
          <wp:wrapTight wrapText="bothSides">
            <wp:wrapPolygon edited="0">
              <wp:start x="0" y="0"/>
              <wp:lineTo x="0" y="20950"/>
              <wp:lineTo x="21012" y="20950"/>
              <wp:lineTo x="210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3051F"/>
    <w:multiLevelType w:val="hybridMultilevel"/>
    <w:tmpl w:val="16869A80"/>
    <w:lvl w:ilvl="0" w:tplc="7C6223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E351F"/>
    <w:multiLevelType w:val="hybridMultilevel"/>
    <w:tmpl w:val="3AC4C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47CD9"/>
    <w:multiLevelType w:val="hybridMultilevel"/>
    <w:tmpl w:val="D69C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D4"/>
    <w:rsid w:val="00002E2D"/>
    <w:rsid w:val="00086246"/>
    <w:rsid w:val="000A6E59"/>
    <w:rsid w:val="000E306D"/>
    <w:rsid w:val="000E4876"/>
    <w:rsid w:val="00127EBC"/>
    <w:rsid w:val="00143EBD"/>
    <w:rsid w:val="001907FB"/>
    <w:rsid w:val="001A058C"/>
    <w:rsid w:val="001E2BF2"/>
    <w:rsid w:val="00206B83"/>
    <w:rsid w:val="00213E43"/>
    <w:rsid w:val="00291D28"/>
    <w:rsid w:val="002A1B71"/>
    <w:rsid w:val="002B63AA"/>
    <w:rsid w:val="002C060D"/>
    <w:rsid w:val="002D0957"/>
    <w:rsid w:val="0032169E"/>
    <w:rsid w:val="00337797"/>
    <w:rsid w:val="00341B26"/>
    <w:rsid w:val="00393F60"/>
    <w:rsid w:val="0039415B"/>
    <w:rsid w:val="00411B47"/>
    <w:rsid w:val="00417613"/>
    <w:rsid w:val="004B4567"/>
    <w:rsid w:val="00526458"/>
    <w:rsid w:val="00526599"/>
    <w:rsid w:val="00554AD3"/>
    <w:rsid w:val="0056155E"/>
    <w:rsid w:val="00593CED"/>
    <w:rsid w:val="005B2D3A"/>
    <w:rsid w:val="005E25ED"/>
    <w:rsid w:val="0061754D"/>
    <w:rsid w:val="00647BCE"/>
    <w:rsid w:val="0065774A"/>
    <w:rsid w:val="00747CE5"/>
    <w:rsid w:val="00765C1F"/>
    <w:rsid w:val="007C5C9D"/>
    <w:rsid w:val="007E53C5"/>
    <w:rsid w:val="0082006E"/>
    <w:rsid w:val="00827864"/>
    <w:rsid w:val="00855598"/>
    <w:rsid w:val="00890272"/>
    <w:rsid w:val="008D003C"/>
    <w:rsid w:val="009274AA"/>
    <w:rsid w:val="00971E66"/>
    <w:rsid w:val="009A4AC3"/>
    <w:rsid w:val="009B67CE"/>
    <w:rsid w:val="009E48D4"/>
    <w:rsid w:val="009E672C"/>
    <w:rsid w:val="009F7810"/>
    <w:rsid w:val="00A24031"/>
    <w:rsid w:val="00A81BA9"/>
    <w:rsid w:val="00A977FE"/>
    <w:rsid w:val="00AD4631"/>
    <w:rsid w:val="00AF64EE"/>
    <w:rsid w:val="00B41BE3"/>
    <w:rsid w:val="00B52796"/>
    <w:rsid w:val="00B56C92"/>
    <w:rsid w:val="00C40881"/>
    <w:rsid w:val="00C602FD"/>
    <w:rsid w:val="00CD6E4E"/>
    <w:rsid w:val="00D07FA0"/>
    <w:rsid w:val="00D10C82"/>
    <w:rsid w:val="00D42094"/>
    <w:rsid w:val="00DC2D7E"/>
    <w:rsid w:val="00E04F5C"/>
    <w:rsid w:val="00E15A00"/>
    <w:rsid w:val="00E445EB"/>
    <w:rsid w:val="00E81031"/>
    <w:rsid w:val="00E92B3C"/>
    <w:rsid w:val="00EB0501"/>
    <w:rsid w:val="00EB7978"/>
    <w:rsid w:val="00EC1C63"/>
    <w:rsid w:val="00F004D6"/>
    <w:rsid w:val="00F0734B"/>
    <w:rsid w:val="00F95B48"/>
    <w:rsid w:val="00FC2A28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C699D"/>
  <w15:docId w15:val="{DC95F7C7-C7CC-4E80-A08A-E4C8392D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31"/>
  </w:style>
  <w:style w:type="paragraph" w:styleId="Footer">
    <w:name w:val="footer"/>
    <w:basedOn w:val="Normal"/>
    <w:link w:val="FooterChar"/>
    <w:uiPriority w:val="99"/>
    <w:unhideWhenUsed/>
    <w:rsid w:val="00A2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31"/>
  </w:style>
  <w:style w:type="paragraph" w:styleId="BalloonText">
    <w:name w:val="Balloon Text"/>
    <w:basedOn w:val="Normal"/>
    <w:link w:val="BalloonTextChar"/>
    <w:uiPriority w:val="99"/>
    <w:semiHidden/>
    <w:unhideWhenUsed/>
    <w:rsid w:val="00A8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0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wyat-phe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B43D-75CC-438C-A12D-A72A81A4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 Charlotte</dc:creator>
  <cp:lastModifiedBy>Laura Smart</cp:lastModifiedBy>
  <cp:revision>2</cp:revision>
  <cp:lastPrinted>2017-01-25T14:13:00Z</cp:lastPrinted>
  <dcterms:created xsi:type="dcterms:W3CDTF">2019-10-25T11:14:00Z</dcterms:created>
  <dcterms:modified xsi:type="dcterms:W3CDTF">2019-10-25T11:14:00Z</dcterms:modified>
</cp:coreProperties>
</file>