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bookmarkStart w:id="0" w:name="_GoBack"/>
      <w:bookmarkEnd w:id="0"/>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1E146A" w:rsidRDefault="001E146A" w:rsidP="002B29D1">
      <w:pPr>
        <w:spacing w:line="360" w:lineRule="auto"/>
        <w:jc w:val="center"/>
        <w:rPr>
          <w:rStyle w:val="Strong"/>
          <w:rFonts w:ascii="Helvetica" w:hAnsi="Helvetica" w:cs="Helvetica"/>
          <w:color w:val="202020"/>
          <w:sz w:val="27"/>
          <w:szCs w:val="27"/>
        </w:rPr>
      </w:pPr>
      <w:r>
        <w:rPr>
          <w:rStyle w:val="Strong"/>
          <w:rFonts w:ascii="Helvetica" w:hAnsi="Helvetica" w:cs="Helvetica"/>
          <w:color w:val="202020"/>
          <w:sz w:val="27"/>
          <w:szCs w:val="27"/>
        </w:rPr>
        <w:t>Quality Paym</w:t>
      </w:r>
      <w:r w:rsidR="00931CB7">
        <w:rPr>
          <w:rStyle w:val="Strong"/>
          <w:rFonts w:ascii="Helvetica" w:hAnsi="Helvetica" w:cs="Helvetica"/>
          <w:color w:val="202020"/>
          <w:sz w:val="27"/>
          <w:szCs w:val="27"/>
        </w:rPr>
        <w:t>ents – Summary Care Records</w:t>
      </w:r>
    </w:p>
    <w:p w:rsidR="00FD512E" w:rsidRDefault="00FD512E" w:rsidP="002B29D1">
      <w:pPr>
        <w:spacing w:line="360" w:lineRule="auto"/>
        <w:jc w:val="center"/>
        <w:rPr>
          <w:rStyle w:val="Strong"/>
          <w:rFonts w:ascii="Helvetica" w:hAnsi="Helvetica" w:cs="Helvetica"/>
          <w:color w:val="202020"/>
          <w:sz w:val="27"/>
          <w:szCs w:val="27"/>
        </w:rPr>
      </w:pPr>
    </w:p>
    <w:tbl>
      <w:tblPr>
        <w:tblStyle w:val="TableGrid"/>
        <w:tblW w:w="0" w:type="auto"/>
        <w:tblInd w:w="648" w:type="dxa"/>
        <w:tblLook w:val="04A0" w:firstRow="1" w:lastRow="0" w:firstColumn="1" w:lastColumn="0" w:noHBand="0" w:noVBand="1"/>
      </w:tblPr>
      <w:tblGrid>
        <w:gridCol w:w="2571"/>
        <w:gridCol w:w="4899"/>
      </w:tblGrid>
      <w:tr w:rsidR="00510B6E" w:rsidTr="001B7888">
        <w:trPr>
          <w:trHeight w:val="397"/>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Review Points</w:t>
            </w:r>
          </w:p>
        </w:tc>
        <w:tc>
          <w:tcPr>
            <w:tcW w:w="4899" w:type="dxa"/>
          </w:tcPr>
          <w:p w:rsidR="00510B6E" w:rsidRDefault="00510B6E" w:rsidP="001B7888">
            <w:pPr>
              <w:spacing w:line="360" w:lineRule="auto"/>
              <w:jc w:val="both"/>
              <w:rPr>
                <w:rFonts w:ascii="Helvetica" w:hAnsi="Helvetica" w:cs="Helvetica"/>
                <w:color w:val="202020"/>
              </w:rPr>
            </w:pPr>
            <w:r>
              <w:rPr>
                <w:rFonts w:ascii="Helvetica" w:hAnsi="Helvetica" w:cs="Helvetica"/>
                <w:color w:val="202020"/>
              </w:rPr>
              <w:t xml:space="preserve">2 </w:t>
            </w:r>
            <w:r w:rsidR="001B7888">
              <w:rPr>
                <w:rFonts w:ascii="Helvetica" w:hAnsi="Helvetica" w:cs="Helvetica"/>
                <w:color w:val="202020"/>
              </w:rPr>
              <w:t>(28</w:t>
            </w:r>
            <w:r w:rsidR="001B7888" w:rsidRPr="001B7888">
              <w:rPr>
                <w:rFonts w:ascii="Helvetica" w:hAnsi="Helvetica" w:cs="Helvetica"/>
                <w:color w:val="202020"/>
                <w:vertAlign w:val="superscript"/>
              </w:rPr>
              <w:t>th</w:t>
            </w:r>
            <w:r w:rsidR="001B7888">
              <w:rPr>
                <w:rFonts w:ascii="Helvetica" w:hAnsi="Helvetica" w:cs="Helvetica"/>
                <w:color w:val="202020"/>
              </w:rPr>
              <w:t xml:space="preserve"> April 2017 and 24</w:t>
            </w:r>
            <w:r w:rsidR="001B7888" w:rsidRPr="001B7888">
              <w:rPr>
                <w:rFonts w:ascii="Helvetica" w:hAnsi="Helvetica" w:cs="Helvetica"/>
                <w:color w:val="202020"/>
                <w:vertAlign w:val="superscript"/>
              </w:rPr>
              <w:t>th</w:t>
            </w:r>
            <w:r w:rsidR="001B7888">
              <w:rPr>
                <w:rFonts w:ascii="Helvetica" w:hAnsi="Helvetica" w:cs="Helvetica"/>
                <w:color w:val="202020"/>
              </w:rPr>
              <w:t xml:space="preserve"> November 2017)</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Points Per Review</w:t>
            </w:r>
          </w:p>
        </w:tc>
        <w:tc>
          <w:tcPr>
            <w:tcW w:w="4899" w:type="dxa"/>
          </w:tcPr>
          <w:p w:rsidR="00510B6E" w:rsidRDefault="000B336F" w:rsidP="00510B6E">
            <w:pPr>
              <w:spacing w:line="360" w:lineRule="auto"/>
              <w:rPr>
                <w:rFonts w:ascii="Helvetica" w:hAnsi="Helvetica" w:cs="Helvetica"/>
                <w:color w:val="202020"/>
              </w:rPr>
            </w:pPr>
            <w:r>
              <w:rPr>
                <w:rFonts w:ascii="Helvetica" w:hAnsi="Helvetica" w:cs="Helvetica"/>
                <w:color w:val="202020"/>
              </w:rPr>
              <w:t>5</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Total Points Available</w:t>
            </w:r>
          </w:p>
        </w:tc>
        <w:tc>
          <w:tcPr>
            <w:tcW w:w="4899" w:type="dxa"/>
          </w:tcPr>
          <w:p w:rsidR="00510B6E" w:rsidRDefault="000B336F" w:rsidP="00510B6E">
            <w:pPr>
              <w:spacing w:line="360" w:lineRule="auto"/>
              <w:rPr>
                <w:rFonts w:ascii="Helvetica" w:hAnsi="Helvetica" w:cs="Helvetica"/>
                <w:color w:val="202020"/>
              </w:rPr>
            </w:pPr>
            <w:r>
              <w:rPr>
                <w:rFonts w:ascii="Helvetica" w:hAnsi="Helvetica" w:cs="Helvetica"/>
                <w:color w:val="202020"/>
              </w:rPr>
              <w:t>1</w:t>
            </w:r>
            <w:r w:rsidR="00510B6E">
              <w:rPr>
                <w:rFonts w:ascii="Helvetica" w:hAnsi="Helvetica" w:cs="Helvetica"/>
                <w:color w:val="202020"/>
              </w:rPr>
              <w:t>0</w:t>
            </w:r>
          </w:p>
        </w:tc>
      </w:tr>
    </w:tbl>
    <w:p w:rsidR="0090198D" w:rsidRDefault="0090198D" w:rsidP="002B29D1">
      <w:pPr>
        <w:spacing w:line="360" w:lineRule="auto"/>
        <w:jc w:val="both"/>
        <w:rPr>
          <w:rStyle w:val="Strong"/>
          <w:rFonts w:ascii="Helvetica" w:hAnsi="Helvetica" w:cs="Helvetica"/>
          <w:i/>
          <w:iCs/>
          <w:color w:val="202020"/>
        </w:rPr>
      </w:pPr>
    </w:p>
    <w:p w:rsidR="001E146A" w:rsidRDefault="00510B6E"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Crit</w:t>
      </w:r>
      <w:r w:rsidR="000B336F">
        <w:rPr>
          <w:rStyle w:val="Strong"/>
          <w:rFonts w:ascii="Helvetica" w:hAnsi="Helvetica" w:cs="Helvetica"/>
          <w:i/>
          <w:iCs/>
          <w:color w:val="202020"/>
        </w:rPr>
        <w:t>erion: On the day of the</w:t>
      </w:r>
      <w:r w:rsidR="00931CB7">
        <w:rPr>
          <w:rStyle w:val="Strong"/>
          <w:rFonts w:ascii="Helvetica" w:hAnsi="Helvetica" w:cs="Helvetica"/>
          <w:i/>
          <w:iCs/>
          <w:color w:val="202020"/>
        </w:rPr>
        <w:t xml:space="preserve"> first</w:t>
      </w:r>
      <w:r w:rsidR="000B336F">
        <w:rPr>
          <w:rStyle w:val="Strong"/>
          <w:rFonts w:ascii="Helvetica" w:hAnsi="Helvetica" w:cs="Helvetica"/>
          <w:i/>
          <w:iCs/>
          <w:color w:val="202020"/>
        </w:rPr>
        <w:t xml:space="preserve"> review, </w:t>
      </w:r>
      <w:r w:rsidR="00931CB7">
        <w:rPr>
          <w:rStyle w:val="Strong"/>
          <w:rFonts w:ascii="Helvetica" w:hAnsi="Helvetica" w:cs="Helvetica"/>
          <w:i/>
          <w:iCs/>
          <w:color w:val="202020"/>
        </w:rPr>
        <w:t>the pharmacy can demonstrate a total increase in access to Summary Care Records (from Monday 27 June 2016 to Sunday 27 November 2016 compared to Monday 28 November 2016 to Sunday 30 April 2017); and on the day of the second review, the pharmacy can demonstrate a total increase in access to Summary Care Records (from Monday 3 October 2016 to Sunday 30 April 2017 compared to Monday 1 May 2017 to Sunday 26 November 2017).</w:t>
      </w:r>
    </w:p>
    <w:p w:rsidR="0090198D" w:rsidRDefault="0090198D" w:rsidP="00073FDC">
      <w:pPr>
        <w:spacing w:line="360" w:lineRule="auto"/>
        <w:jc w:val="both"/>
        <w:rPr>
          <w:rStyle w:val="Strong"/>
          <w:rFonts w:ascii="Helvetica" w:hAnsi="Helvetica" w:cs="Helvetica"/>
          <w:i/>
          <w:iCs/>
          <w:color w:val="202020"/>
        </w:rPr>
      </w:pPr>
    </w:p>
    <w:p w:rsidR="00073FDC" w:rsidRPr="00073FDC" w:rsidRDefault="00931CB7" w:rsidP="00073FDC">
      <w:pPr>
        <w:spacing w:before="150" w:after="150" w:line="360" w:lineRule="auto"/>
        <w:jc w:val="both"/>
        <w:rPr>
          <w:rStyle w:val="Strong"/>
          <w:rFonts w:ascii="Helvetica" w:hAnsi="Helvetica" w:cs="Helvetica"/>
          <w:b w:val="0"/>
        </w:rPr>
      </w:pPr>
      <w:r w:rsidRPr="00931CB7">
        <w:rPr>
          <w:rStyle w:val="Strong"/>
          <w:rFonts w:ascii="Helvetica" w:hAnsi="Helvetica" w:cs="Helvetica"/>
          <w:b w:val="0"/>
        </w:rPr>
        <w:t>NEW: NHS Digital has now published the Summary Care Record Usage Calculator Tool, as referenced in NHS England's quality criteria guidance.</w:t>
      </w:r>
    </w:p>
    <w:p w:rsidR="00931CB7" w:rsidRDefault="00931CB7" w:rsidP="00073FDC">
      <w:pPr>
        <w:spacing w:before="150" w:after="150" w:line="360" w:lineRule="auto"/>
        <w:jc w:val="both"/>
        <w:rPr>
          <w:rStyle w:val="Strong"/>
          <w:rFonts w:ascii="Helvetica" w:hAnsi="Helvetica" w:cs="Helvetica"/>
          <w:b w:val="0"/>
        </w:rPr>
      </w:pPr>
      <w:r w:rsidRPr="00931CB7">
        <w:rPr>
          <w:rStyle w:val="Strong"/>
          <w:rFonts w:ascii="Helvetica" w:hAnsi="Helvetica" w:cs="Helvetica"/>
          <w:b w:val="0"/>
        </w:rPr>
        <w:t>The SCR calculator has been created to assist community pharmacy contractors in monitoring and increasing their SCR usage to meet the SCR quality criterion, which requires contractors to be able to demonstrate on the day of the review, a total increase in access to SCR from period 1 to period 2 as defined below.</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1"/>
        <w:gridCol w:w="3303"/>
        <w:gridCol w:w="3716"/>
      </w:tblGrid>
      <w:tr w:rsidR="00931CB7" w:rsidTr="00880BED">
        <w:tc>
          <w:tcPr>
            <w:tcW w:w="0" w:type="auto"/>
            <w:tcBorders>
              <w:top w:val="outset" w:sz="6" w:space="0" w:color="auto"/>
              <w:left w:val="outset" w:sz="6" w:space="0" w:color="auto"/>
              <w:bottom w:val="outset" w:sz="6" w:space="0" w:color="auto"/>
              <w:right w:val="outset" w:sz="6" w:space="0" w:color="auto"/>
            </w:tcBorders>
            <w:vAlign w:val="center"/>
            <w:hideMark/>
          </w:tcPr>
          <w:p w:rsidR="00931CB7" w:rsidRPr="00931CB7" w:rsidRDefault="00931CB7" w:rsidP="00073FDC">
            <w:pPr>
              <w:spacing w:line="360" w:lineRule="auto"/>
              <w:rPr>
                <w:rFonts w:asciiTheme="minorHAnsi" w:hAnsiTheme="minorHAnsi" w:cstheme="minorHAnsi"/>
              </w:rPr>
            </w:pPr>
            <w:r w:rsidRPr="00931CB7">
              <w:rPr>
                <w:rFonts w:asciiTheme="minorHAnsi" w:hAnsiTheme="minorHAnsi"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1CB7" w:rsidRPr="00931CB7" w:rsidRDefault="00931CB7" w:rsidP="00073FDC">
            <w:pPr>
              <w:spacing w:line="360" w:lineRule="auto"/>
              <w:rPr>
                <w:rFonts w:asciiTheme="minorHAnsi" w:hAnsiTheme="minorHAnsi" w:cstheme="minorHAnsi"/>
              </w:rPr>
            </w:pPr>
            <w:r w:rsidRPr="00931CB7">
              <w:rPr>
                <w:rStyle w:val="Strong"/>
                <w:rFonts w:asciiTheme="minorHAnsi" w:hAnsiTheme="minorHAnsi" w:cstheme="minorHAnsi"/>
              </w:rPr>
              <w:t>Period 1</w:t>
            </w:r>
          </w:p>
        </w:tc>
        <w:tc>
          <w:tcPr>
            <w:tcW w:w="0" w:type="auto"/>
            <w:tcBorders>
              <w:top w:val="outset" w:sz="6" w:space="0" w:color="auto"/>
              <w:left w:val="outset" w:sz="6" w:space="0" w:color="auto"/>
              <w:bottom w:val="outset" w:sz="6" w:space="0" w:color="auto"/>
              <w:right w:val="outset" w:sz="6" w:space="0" w:color="auto"/>
            </w:tcBorders>
            <w:vAlign w:val="center"/>
            <w:hideMark/>
          </w:tcPr>
          <w:p w:rsidR="00931CB7" w:rsidRPr="00931CB7" w:rsidRDefault="00931CB7" w:rsidP="00073FDC">
            <w:pPr>
              <w:spacing w:line="360" w:lineRule="auto"/>
              <w:rPr>
                <w:rFonts w:asciiTheme="minorHAnsi" w:hAnsiTheme="minorHAnsi" w:cstheme="minorHAnsi"/>
              </w:rPr>
            </w:pPr>
            <w:r w:rsidRPr="00931CB7">
              <w:rPr>
                <w:rStyle w:val="Strong"/>
                <w:rFonts w:asciiTheme="minorHAnsi" w:hAnsiTheme="minorHAnsi" w:cstheme="minorHAnsi"/>
              </w:rPr>
              <w:t>Period 2</w:t>
            </w:r>
          </w:p>
        </w:tc>
      </w:tr>
      <w:tr w:rsidR="00931CB7" w:rsidTr="00880BED">
        <w:tc>
          <w:tcPr>
            <w:tcW w:w="0" w:type="auto"/>
            <w:tcBorders>
              <w:top w:val="outset" w:sz="6" w:space="0" w:color="auto"/>
              <w:left w:val="outset" w:sz="6" w:space="0" w:color="auto"/>
              <w:bottom w:val="outset" w:sz="6" w:space="0" w:color="auto"/>
              <w:right w:val="outset" w:sz="6" w:space="0" w:color="auto"/>
            </w:tcBorders>
            <w:vAlign w:val="center"/>
            <w:hideMark/>
          </w:tcPr>
          <w:p w:rsidR="00931CB7" w:rsidRPr="00931CB7" w:rsidRDefault="00931CB7" w:rsidP="00073FDC">
            <w:pPr>
              <w:spacing w:line="360" w:lineRule="auto"/>
              <w:rPr>
                <w:rFonts w:asciiTheme="minorHAnsi" w:hAnsiTheme="minorHAnsi" w:cstheme="minorHAnsi"/>
              </w:rPr>
            </w:pPr>
            <w:r w:rsidRPr="00931CB7">
              <w:rPr>
                <w:rStyle w:val="Strong"/>
                <w:rFonts w:asciiTheme="minorHAnsi" w:hAnsiTheme="minorHAnsi" w:cstheme="minorHAnsi"/>
              </w:rPr>
              <w:t>For 28th April</w:t>
            </w:r>
            <w:r w:rsidRPr="00931CB7">
              <w:rPr>
                <w:rFonts w:asciiTheme="minorHAnsi" w:hAnsiTheme="minorHAnsi" w:cstheme="minorHAnsi"/>
                <w:b/>
                <w:bCs/>
              </w:rPr>
              <w:br/>
            </w:r>
            <w:r w:rsidRPr="00931CB7">
              <w:rPr>
                <w:rStyle w:val="Strong"/>
                <w:rFonts w:asciiTheme="minorHAnsi" w:hAnsiTheme="minorHAnsi" w:cstheme="minorHAnsi"/>
              </w:rPr>
              <w:t>2017 review point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1CB7" w:rsidRPr="00931CB7" w:rsidRDefault="00931CB7" w:rsidP="00073FDC">
            <w:pPr>
              <w:spacing w:line="360" w:lineRule="auto"/>
              <w:rPr>
                <w:rFonts w:asciiTheme="minorHAnsi" w:hAnsiTheme="minorHAnsi" w:cstheme="minorHAnsi"/>
              </w:rPr>
            </w:pPr>
            <w:r w:rsidRPr="00931CB7">
              <w:rPr>
                <w:rFonts w:asciiTheme="minorHAnsi" w:hAnsiTheme="minorHAnsi" w:cstheme="minorHAnsi"/>
              </w:rPr>
              <w:t>Monday 27th June 2016 to</w:t>
            </w:r>
            <w:r w:rsidRPr="00931CB7">
              <w:rPr>
                <w:rFonts w:asciiTheme="minorHAnsi" w:hAnsiTheme="minorHAnsi" w:cstheme="minorHAnsi"/>
              </w:rPr>
              <w:br/>
              <w:t>Sunday 27th November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31CB7" w:rsidRPr="00931CB7" w:rsidRDefault="00931CB7" w:rsidP="00073FDC">
            <w:pPr>
              <w:spacing w:line="360" w:lineRule="auto"/>
              <w:rPr>
                <w:rFonts w:asciiTheme="minorHAnsi" w:hAnsiTheme="minorHAnsi" w:cstheme="minorHAnsi"/>
              </w:rPr>
            </w:pPr>
            <w:r w:rsidRPr="00931CB7">
              <w:rPr>
                <w:rFonts w:asciiTheme="minorHAnsi" w:hAnsiTheme="minorHAnsi" w:cstheme="minorHAnsi"/>
              </w:rPr>
              <w:t>Monday 28th November 2016 to</w:t>
            </w:r>
            <w:r w:rsidRPr="00931CB7">
              <w:rPr>
                <w:rFonts w:asciiTheme="minorHAnsi" w:hAnsiTheme="minorHAnsi" w:cstheme="minorHAnsi"/>
              </w:rPr>
              <w:br/>
              <w:t>Sunday 30th April 2017</w:t>
            </w:r>
          </w:p>
        </w:tc>
      </w:tr>
    </w:tbl>
    <w:p w:rsidR="00073FDC" w:rsidRDefault="00931CB7" w:rsidP="00073FDC">
      <w:pPr>
        <w:spacing w:before="150" w:after="150" w:line="360" w:lineRule="auto"/>
        <w:rPr>
          <w:rStyle w:val="Strong"/>
          <w:rFonts w:ascii="Helvetica" w:hAnsi="Helvetica" w:cs="Helvetica"/>
          <w:b w:val="0"/>
        </w:rPr>
      </w:pPr>
      <w:r>
        <w:rPr>
          <w:rFonts w:ascii="Helvetica" w:hAnsi="Helvetica" w:cs="Helvetica"/>
          <w:color w:val="202020"/>
        </w:rPr>
        <w:t> </w:t>
      </w:r>
      <w:r w:rsidRPr="00073FDC">
        <w:rPr>
          <w:rStyle w:val="Strong"/>
          <w:rFonts w:ascii="Helvetica" w:hAnsi="Helvetica" w:cs="Helvetica"/>
          <w:b w:val="0"/>
        </w:rPr>
        <w:t>The calculator will show the number of times a pharmacy has viewed the SCR in period 1 and period 2. The calculator will be updated every Thur</w:t>
      </w:r>
      <w:r w:rsidR="00073FDC">
        <w:rPr>
          <w:rStyle w:val="Strong"/>
          <w:rFonts w:ascii="Helvetica" w:hAnsi="Helvetica" w:cs="Helvetica"/>
          <w:b w:val="0"/>
        </w:rPr>
        <w:t xml:space="preserve">sday to show the latest figures: </w:t>
      </w:r>
      <w:hyperlink r:id="rId9" w:history="1">
        <w:r w:rsidR="00073FDC">
          <w:rPr>
            <w:rStyle w:val="Hyperlink"/>
            <w:rFonts w:ascii="Helvetica" w:hAnsi="Helvetica" w:cs="Helvetica"/>
          </w:rPr>
          <w:t>SCR Usage Calculator</w:t>
        </w:r>
      </w:hyperlink>
      <w:r w:rsidR="00073FDC">
        <w:rPr>
          <w:rStyle w:val="Strong"/>
          <w:rFonts w:ascii="Helvetica" w:hAnsi="Helvetica" w:cs="Helvetica"/>
          <w:b w:val="0"/>
        </w:rPr>
        <w:t xml:space="preserve"> </w:t>
      </w:r>
    </w:p>
    <w:p w:rsidR="00073FDC" w:rsidRPr="00073FDC" w:rsidRDefault="00073FDC" w:rsidP="00073FDC">
      <w:pPr>
        <w:spacing w:before="150" w:after="150" w:line="360" w:lineRule="auto"/>
        <w:rPr>
          <w:rStyle w:val="Strong"/>
          <w:rFonts w:ascii="Helvetica" w:hAnsi="Helvetica" w:cs="Helvetica"/>
          <w:u w:val="single"/>
        </w:rPr>
      </w:pPr>
      <w:r w:rsidRPr="00073FDC">
        <w:rPr>
          <w:rStyle w:val="Strong"/>
          <w:rFonts w:ascii="Helvetica" w:hAnsi="Helvetica" w:cs="Helvetica"/>
          <w:u w:val="single"/>
        </w:rPr>
        <w:lastRenderedPageBreak/>
        <w:t>If you are yet to ‘go live’ with SCR………</w:t>
      </w:r>
    </w:p>
    <w:p w:rsidR="00594899" w:rsidRDefault="00594899" w:rsidP="00594899">
      <w:pPr>
        <w:spacing w:line="360" w:lineRule="auto"/>
        <w:jc w:val="both"/>
        <w:rPr>
          <w:rStyle w:val="Strong"/>
          <w:rFonts w:ascii="Helvetica" w:hAnsi="Helvetica" w:cs="Helvetica"/>
          <w:i/>
          <w:iCs/>
        </w:rPr>
      </w:pPr>
      <w:r w:rsidRPr="00594899">
        <w:rPr>
          <w:rFonts w:ascii="Helvetica" w:hAnsi="Helvetica" w:cs="Helvetica"/>
        </w:rPr>
        <w:t xml:space="preserve">A new SCR registration process for 2017/18 has been established for contractors to go live with Summary Care Records - </w:t>
      </w:r>
      <w:r w:rsidRPr="00594899">
        <w:rPr>
          <w:rStyle w:val="Strong"/>
          <w:rFonts w:ascii="Helvetica" w:hAnsi="Helvetica" w:cs="Helvetica"/>
          <w:i/>
          <w:iCs/>
        </w:rPr>
        <w:t xml:space="preserve">a key difference is that </w:t>
      </w:r>
      <w:proofErr w:type="gramStart"/>
      <w:r w:rsidRPr="00594899">
        <w:rPr>
          <w:rStyle w:val="Strong"/>
          <w:rFonts w:ascii="Helvetica" w:hAnsi="Helvetica" w:cs="Helvetica"/>
          <w:i/>
          <w:iCs/>
        </w:rPr>
        <w:t>staff are</w:t>
      </w:r>
      <w:proofErr w:type="gramEnd"/>
      <w:r w:rsidRPr="00594899">
        <w:rPr>
          <w:rStyle w:val="Strong"/>
          <w:rFonts w:ascii="Helvetica" w:hAnsi="Helvetica" w:cs="Helvetica"/>
          <w:i/>
          <w:iCs/>
        </w:rPr>
        <w:t xml:space="preserve"> no longer required to attend face-to-face training.</w:t>
      </w:r>
    </w:p>
    <w:p w:rsidR="000B336F" w:rsidRDefault="00594899" w:rsidP="00594899">
      <w:pPr>
        <w:spacing w:line="360" w:lineRule="auto"/>
        <w:jc w:val="both"/>
        <w:rPr>
          <w:rFonts w:ascii="Helvetica" w:hAnsi="Helvetica" w:cs="Helvetica"/>
        </w:rPr>
      </w:pPr>
      <w:r w:rsidRPr="00594899">
        <w:rPr>
          <w:rFonts w:ascii="Helvetica" w:hAnsi="Helvetica" w:cs="Helvetica"/>
        </w:rPr>
        <w:br/>
      </w:r>
      <w:r>
        <w:rPr>
          <w:rFonts w:ascii="Helvetica" w:hAnsi="Helvetica" w:cs="Helvetica"/>
        </w:rPr>
        <w:t>PSNC has updated its</w:t>
      </w:r>
      <w:r w:rsidRPr="00594899">
        <w:rPr>
          <w:rFonts w:ascii="Helvetica" w:hAnsi="Helvetica" w:cs="Helvetica"/>
        </w:rPr>
        <w:t xml:space="preserve"> </w:t>
      </w:r>
      <w:hyperlink r:id="rId10" w:history="1">
        <w:r>
          <w:rPr>
            <w:rStyle w:val="Hyperlink"/>
            <w:rFonts w:ascii="Helvetica" w:hAnsi="Helvetica" w:cs="Helvetica"/>
          </w:rPr>
          <w:t>SCR implementation checklist</w:t>
        </w:r>
      </w:hyperlink>
      <w:r>
        <w:rPr>
          <w:rFonts w:ascii="Helvetica" w:hAnsi="Helvetica" w:cs="Helvetica"/>
        </w:rPr>
        <w:t xml:space="preserve"> </w:t>
      </w:r>
      <w:r w:rsidRPr="00594899">
        <w:rPr>
          <w:rFonts w:ascii="Helvetica" w:hAnsi="Helvetica" w:cs="Helvetica"/>
        </w:rPr>
        <w:t xml:space="preserve"> to reflect the change and further information, including new online training for SCR Governance Persons (formerly Privacy Officers), is available on</w:t>
      </w:r>
      <w:r>
        <w:rPr>
          <w:rFonts w:ascii="Helvetica" w:hAnsi="Helvetica" w:cs="Helvetica"/>
        </w:rPr>
        <w:t xml:space="preserve"> the</w:t>
      </w:r>
      <w:r w:rsidRPr="00594899">
        <w:rPr>
          <w:rFonts w:ascii="Helvetica" w:hAnsi="Helvetica" w:cs="Helvetica"/>
        </w:rPr>
        <w:t xml:space="preserve"> </w:t>
      </w:r>
      <w:hyperlink r:id="rId11" w:history="1">
        <w:r>
          <w:rPr>
            <w:rStyle w:val="Hyperlink"/>
            <w:rFonts w:ascii="Helvetica" w:hAnsi="Helvetica" w:cs="Helvetica"/>
          </w:rPr>
          <w:t>NHS Digital</w:t>
        </w:r>
      </w:hyperlink>
      <w:r>
        <w:rPr>
          <w:rFonts w:ascii="Helvetica" w:hAnsi="Helvetica" w:cs="Helvetica"/>
        </w:rPr>
        <w:t xml:space="preserve"> website.</w:t>
      </w:r>
    </w:p>
    <w:p w:rsidR="00594899" w:rsidRDefault="00594899" w:rsidP="00594899">
      <w:pPr>
        <w:spacing w:line="360" w:lineRule="auto"/>
        <w:jc w:val="both"/>
        <w:rPr>
          <w:rFonts w:ascii="Helvetica" w:hAnsi="Helvetica" w:cs="Helvetica"/>
        </w:rPr>
      </w:pPr>
    </w:p>
    <w:p w:rsidR="00594899" w:rsidRDefault="00594899" w:rsidP="00594899">
      <w:pPr>
        <w:spacing w:line="360" w:lineRule="auto"/>
        <w:jc w:val="both"/>
        <w:rPr>
          <w:rFonts w:ascii="Helvetica" w:hAnsi="Helvetica" w:cs="Helvetica"/>
        </w:rPr>
      </w:pPr>
    </w:p>
    <w:p w:rsidR="00594899" w:rsidRPr="00594899" w:rsidRDefault="00594899" w:rsidP="00594899">
      <w:pPr>
        <w:spacing w:line="360" w:lineRule="auto"/>
        <w:jc w:val="center"/>
        <w:rPr>
          <w:rStyle w:val="Strong"/>
          <w:rFonts w:ascii="Helvetica" w:hAnsi="Helvetica" w:cs="Helvetica"/>
          <w:b w:val="0"/>
          <w:iCs/>
          <w:color w:val="202020"/>
        </w:rPr>
      </w:pPr>
      <w:r>
        <w:rPr>
          <w:rFonts w:ascii="Helvetica" w:hAnsi="Helvetica" w:cs="Helvetica"/>
          <w:bCs/>
          <w:iCs/>
          <w:noProof/>
          <w:color w:val="202020"/>
        </w:rPr>
        <w:drawing>
          <wp:inline distT="0" distB="0" distL="0" distR="0">
            <wp:extent cx="160972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 logo.JPG"/>
                    <pic:cNvPicPr/>
                  </pic:nvPicPr>
                  <pic:blipFill>
                    <a:blip r:embed="rId12">
                      <a:extLst>
                        <a:ext uri="{28A0092B-C50C-407E-A947-70E740481C1C}">
                          <a14:useLocalDpi xmlns:a14="http://schemas.microsoft.com/office/drawing/2010/main" val="0"/>
                        </a:ext>
                      </a:extLst>
                    </a:blip>
                    <a:stretch>
                      <a:fillRect/>
                    </a:stretch>
                  </pic:blipFill>
                  <pic:spPr>
                    <a:xfrm>
                      <a:off x="0" y="0"/>
                      <a:ext cx="1609725" cy="1314450"/>
                    </a:xfrm>
                    <a:prstGeom prst="rect">
                      <a:avLst/>
                    </a:prstGeom>
                  </pic:spPr>
                </pic:pic>
              </a:graphicData>
            </a:graphic>
          </wp:inline>
        </w:drawing>
      </w:r>
    </w:p>
    <w:sectPr w:rsidR="00594899" w:rsidRPr="0059489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09" w:rsidRDefault="00173209" w:rsidP="0090198D">
      <w:r>
        <w:separator/>
      </w:r>
    </w:p>
  </w:endnote>
  <w:endnote w:type="continuationSeparator" w:id="0">
    <w:p w:rsidR="00173209" w:rsidRDefault="00173209"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495C73">
          <w:rPr>
            <w:noProof/>
          </w:rPr>
          <w:t>1</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09" w:rsidRDefault="00173209" w:rsidP="0090198D">
      <w:r>
        <w:separator/>
      </w:r>
    </w:p>
  </w:footnote>
  <w:footnote w:type="continuationSeparator" w:id="0">
    <w:p w:rsidR="00173209" w:rsidRDefault="00173209"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66B02"/>
    <w:multiLevelType w:val="multilevel"/>
    <w:tmpl w:val="F2347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073FDC"/>
    <w:rsid w:val="000B336F"/>
    <w:rsid w:val="000E3BCA"/>
    <w:rsid w:val="00173209"/>
    <w:rsid w:val="001759F0"/>
    <w:rsid w:val="00195EBB"/>
    <w:rsid w:val="001B7888"/>
    <w:rsid w:val="001E146A"/>
    <w:rsid w:val="001F3E40"/>
    <w:rsid w:val="00265F8C"/>
    <w:rsid w:val="002B29D1"/>
    <w:rsid w:val="002F3F36"/>
    <w:rsid w:val="00495C73"/>
    <w:rsid w:val="00510B6E"/>
    <w:rsid w:val="005347FF"/>
    <w:rsid w:val="00594899"/>
    <w:rsid w:val="005B1325"/>
    <w:rsid w:val="005C336E"/>
    <w:rsid w:val="007C7814"/>
    <w:rsid w:val="008A6CE0"/>
    <w:rsid w:val="0090198D"/>
    <w:rsid w:val="00915045"/>
    <w:rsid w:val="00931CB7"/>
    <w:rsid w:val="00A356A7"/>
    <w:rsid w:val="00A80E28"/>
    <w:rsid w:val="00AD5E30"/>
    <w:rsid w:val="00B878CB"/>
    <w:rsid w:val="00BE2749"/>
    <w:rsid w:val="00C503C8"/>
    <w:rsid w:val="00D83C46"/>
    <w:rsid w:val="00DB5E26"/>
    <w:rsid w:val="00F5480A"/>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 w:id="1469780219">
      <w:bodyDiv w:val="1"/>
      <w:marLeft w:val="0"/>
      <w:marRight w:val="0"/>
      <w:marTop w:val="0"/>
      <w:marBottom w:val="0"/>
      <w:divBdr>
        <w:top w:val="none" w:sz="0" w:space="0" w:color="auto"/>
        <w:left w:val="none" w:sz="0" w:space="0" w:color="auto"/>
        <w:bottom w:val="none" w:sz="0" w:space="0" w:color="auto"/>
        <w:right w:val="none" w:sz="0" w:space="0" w:color="auto"/>
      </w:divBdr>
    </w:div>
    <w:div w:id="16345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ummary-care-records/community-pharmacy/getting-started-with-SC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nc.org.uk/wp-content/uploads/2013/04/PSNC-Briefing-023.16-Summary-Care-Record-SCR-implementation-checklist.pdf" TargetMode="External"/><Relationship Id="rId4" Type="http://schemas.openxmlformats.org/officeDocument/2006/relationships/settings" Target="settings.xml"/><Relationship Id="rId9" Type="http://schemas.openxmlformats.org/officeDocument/2006/relationships/hyperlink" Target="https://digital.nhs.uk/summary-care-records/community-pharmacy/calculate-scr-use-quality-payments?utm_source=PSNC+Newsletter&amp;utm_campaign=d5a958d0e5-EMAIL_CAMPAIGN_2017_03_09&amp;utm_medium=email&amp;utm_term=0_b5ca69e1d1-d5a958d0e5-485527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6</cp:revision>
  <cp:lastPrinted>2017-04-21T13:13:00Z</cp:lastPrinted>
  <dcterms:created xsi:type="dcterms:W3CDTF">2017-03-24T12:08:00Z</dcterms:created>
  <dcterms:modified xsi:type="dcterms:W3CDTF">2017-04-21T13:13:00Z</dcterms:modified>
</cp:coreProperties>
</file>